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8BB56" w14:textId="095F8F2C" w:rsidR="00673FD7" w:rsidRDefault="00DD1096" w:rsidP="00235FED">
      <w:pPr>
        <w:spacing w:after="0" w:line="240" w:lineRule="auto"/>
        <w:rPr>
          <w:rFonts w:ascii="Aptos Display" w:hAnsi="Aptos Display"/>
          <w:b/>
          <w:sz w:val="24"/>
          <w:szCs w:val="24"/>
        </w:rPr>
      </w:pPr>
      <w:r w:rsidRPr="00DD1096">
        <w:rPr>
          <w:rFonts w:ascii="Aptos Display" w:hAnsi="Aptos Display"/>
          <w:b/>
          <w:sz w:val="24"/>
          <w:szCs w:val="24"/>
        </w:rPr>
        <w:t xml:space="preserve">Willamette Valley: The Perfect Setting </w:t>
      </w:r>
    </w:p>
    <w:p w14:paraId="46A7B83F" w14:textId="77777777" w:rsidR="00235FED" w:rsidRPr="00DD1096" w:rsidRDefault="00235FED" w:rsidP="00235FED">
      <w:pPr>
        <w:spacing w:after="0" w:line="240" w:lineRule="auto"/>
        <w:rPr>
          <w:rFonts w:ascii="Aptos Display" w:hAnsi="Aptos Display"/>
          <w:sz w:val="24"/>
          <w:szCs w:val="24"/>
        </w:rPr>
      </w:pPr>
    </w:p>
    <w:p w14:paraId="3181E4B8" w14:textId="2C5581C0" w:rsidR="00DD1096" w:rsidRDefault="00DD1096" w:rsidP="00235FED">
      <w:pPr>
        <w:spacing w:after="0" w:line="240" w:lineRule="auto"/>
        <w:rPr>
          <w:rFonts w:ascii="Aptos Display" w:hAnsi="Aptos Display"/>
          <w:b/>
          <w:sz w:val="22"/>
          <w:szCs w:val="22"/>
        </w:rPr>
      </w:pPr>
      <w:r w:rsidRPr="00DD1096">
        <w:rPr>
          <w:rFonts w:ascii="Aptos Display" w:hAnsi="Aptos Display"/>
          <w:b/>
          <w:sz w:val="22"/>
          <w:szCs w:val="22"/>
        </w:rPr>
        <w:t>Wine Tastings, Lunch, and a Chauffeur with 3-Night stay at The Setting Inn for 4</w:t>
      </w:r>
    </w:p>
    <w:p w14:paraId="54AE37C9" w14:textId="77777777" w:rsidR="00235FED" w:rsidRPr="00DD1096" w:rsidRDefault="00235FED" w:rsidP="00235FED">
      <w:pPr>
        <w:spacing w:after="0" w:line="240" w:lineRule="auto"/>
        <w:rPr>
          <w:rFonts w:ascii="Aptos Display" w:hAnsi="Aptos Display"/>
          <w:sz w:val="22"/>
          <w:szCs w:val="22"/>
        </w:rPr>
      </w:pPr>
    </w:p>
    <w:p w14:paraId="13145F7A" w14:textId="524E13AA" w:rsidR="00673FD7" w:rsidRPr="00DD1096" w:rsidRDefault="00E40635" w:rsidP="00235FED">
      <w:pPr>
        <w:spacing w:after="0" w:line="240" w:lineRule="auto"/>
        <w:rPr>
          <w:rFonts w:ascii="Aptos Display" w:hAnsi="Aptos Display"/>
          <w:sz w:val="22"/>
          <w:szCs w:val="22"/>
        </w:rPr>
      </w:pPr>
      <w:r w:rsidRPr="00DD1096">
        <w:rPr>
          <w:rFonts w:ascii="Aptos Display" w:hAnsi="Aptos Display"/>
          <w:sz w:val="22"/>
          <w:szCs w:val="22"/>
        </w:rPr>
        <w:t>This Experience</w:t>
      </w:r>
      <w:r>
        <w:rPr>
          <w:rFonts w:ascii="Aptos Display" w:hAnsi="Aptos Display"/>
          <w:sz w:val="22"/>
          <w:szCs w:val="22"/>
        </w:rPr>
        <w:t xml:space="preserve"> for 4</w:t>
      </w:r>
      <w:r w:rsidRPr="00DD1096">
        <w:rPr>
          <w:rFonts w:ascii="Aptos Display" w:hAnsi="Aptos Display"/>
          <w:sz w:val="22"/>
          <w:szCs w:val="22"/>
        </w:rPr>
        <w:t xml:space="preserve"> Includes:</w:t>
      </w:r>
    </w:p>
    <w:p w14:paraId="0F9F88C4" w14:textId="4AD77454" w:rsidR="00673FD7" w:rsidRPr="00DD1096" w:rsidRDefault="00E40635" w:rsidP="00235FED">
      <w:pPr>
        <w:numPr>
          <w:ilvl w:val="0"/>
          <w:numId w:val="1"/>
        </w:numPr>
        <w:spacing w:after="0" w:line="240" w:lineRule="auto"/>
        <w:rPr>
          <w:rFonts w:ascii="Aptos Display" w:hAnsi="Aptos Display"/>
          <w:sz w:val="22"/>
          <w:szCs w:val="22"/>
        </w:rPr>
      </w:pPr>
      <w:bookmarkStart w:id="0" w:name="_Hlk187856310"/>
      <w:r w:rsidRPr="00DD1096">
        <w:rPr>
          <w:rFonts w:ascii="Aptos Display" w:hAnsi="Aptos Display"/>
          <w:sz w:val="22"/>
          <w:szCs w:val="22"/>
        </w:rPr>
        <w:t xml:space="preserve">3-night stay at The Setting Inn, Willamette </w:t>
      </w:r>
      <w:r w:rsidR="00DD1096" w:rsidRPr="00DD1096">
        <w:rPr>
          <w:rFonts w:ascii="Aptos Display" w:hAnsi="Aptos Display"/>
          <w:sz w:val="22"/>
          <w:szCs w:val="22"/>
        </w:rPr>
        <w:t>Valley,</w:t>
      </w:r>
      <w:r w:rsidRPr="00DD1096">
        <w:rPr>
          <w:rFonts w:ascii="Aptos Display" w:hAnsi="Aptos Display"/>
          <w:sz w:val="22"/>
          <w:szCs w:val="22"/>
        </w:rPr>
        <w:t> </w:t>
      </w:r>
      <w:r w:rsidR="00DD1096">
        <w:rPr>
          <w:rFonts w:ascii="Aptos Display" w:hAnsi="Aptos Display"/>
          <w:sz w:val="22"/>
          <w:szCs w:val="22"/>
        </w:rPr>
        <w:t xml:space="preserve">two rooms </w:t>
      </w:r>
      <w:r w:rsidRPr="00DD1096">
        <w:rPr>
          <w:rFonts w:ascii="Aptos Display" w:hAnsi="Aptos Display"/>
          <w:sz w:val="22"/>
          <w:szCs w:val="22"/>
        </w:rPr>
        <w:t xml:space="preserve">for </w:t>
      </w:r>
      <w:r w:rsidR="00DD1096">
        <w:rPr>
          <w:rFonts w:ascii="Aptos Display" w:hAnsi="Aptos Display"/>
          <w:sz w:val="22"/>
          <w:szCs w:val="22"/>
        </w:rPr>
        <w:t>4</w:t>
      </w:r>
    </w:p>
    <w:bookmarkEnd w:id="0"/>
    <w:p w14:paraId="764E7894" w14:textId="77777777" w:rsidR="00673FD7" w:rsidRDefault="00E40635" w:rsidP="00235FED">
      <w:pPr>
        <w:numPr>
          <w:ilvl w:val="0"/>
          <w:numId w:val="1"/>
        </w:numPr>
        <w:spacing w:after="0" w:line="240" w:lineRule="auto"/>
        <w:rPr>
          <w:rFonts w:ascii="Aptos Display" w:hAnsi="Aptos Display"/>
          <w:sz w:val="22"/>
          <w:szCs w:val="22"/>
        </w:rPr>
      </w:pPr>
      <w:r w:rsidRPr="00DD1096">
        <w:rPr>
          <w:rFonts w:ascii="Aptos Display" w:hAnsi="Aptos Display"/>
          <w:sz w:val="22"/>
          <w:szCs w:val="22"/>
        </w:rPr>
        <w:t>Wine tasting, chauffeur, and lunch</w:t>
      </w:r>
    </w:p>
    <w:p w14:paraId="1E221C33" w14:textId="216A6082" w:rsidR="00862D24" w:rsidRPr="00115835" w:rsidRDefault="00115835" w:rsidP="00235FED">
      <w:pPr>
        <w:numPr>
          <w:ilvl w:val="0"/>
          <w:numId w:val="1"/>
        </w:numPr>
        <w:spacing w:after="0" w:line="240" w:lineRule="auto"/>
        <w:rPr>
          <w:rFonts w:ascii="Aptos Display" w:hAnsi="Aptos Display"/>
          <w:sz w:val="22"/>
          <w:szCs w:val="22"/>
        </w:rPr>
      </w:pPr>
      <w:r w:rsidRPr="00831EF7">
        <w:rPr>
          <w:rFonts w:ascii="Aptos Display" w:hAnsi="Aptos Display"/>
          <w:sz w:val="22"/>
          <w:szCs w:val="22"/>
        </w:rPr>
        <w:t>Private tasting of The Setting Wine</w:t>
      </w:r>
    </w:p>
    <w:p w14:paraId="3B74BA81" w14:textId="77777777" w:rsidR="00673FD7" w:rsidRPr="00DD1096" w:rsidRDefault="00E40635" w:rsidP="00235FED">
      <w:pPr>
        <w:numPr>
          <w:ilvl w:val="0"/>
          <w:numId w:val="1"/>
        </w:numPr>
        <w:spacing w:after="0" w:line="240" w:lineRule="auto"/>
        <w:rPr>
          <w:rFonts w:ascii="Aptos Display" w:hAnsi="Aptos Display"/>
          <w:sz w:val="22"/>
          <w:szCs w:val="22"/>
        </w:rPr>
      </w:pPr>
      <w:r w:rsidRPr="00DD1096">
        <w:rPr>
          <w:rFonts w:ascii="Aptos Display" w:hAnsi="Aptos Display"/>
          <w:sz w:val="22"/>
          <w:szCs w:val="22"/>
        </w:rPr>
        <w:t>Winspire booking &amp; concierge service</w:t>
      </w:r>
    </w:p>
    <w:p w14:paraId="0823C0B5" w14:textId="77777777" w:rsidR="00673FD7" w:rsidRPr="00DD1096" w:rsidRDefault="00673FD7" w:rsidP="00235FED">
      <w:pPr>
        <w:spacing w:after="0" w:line="240" w:lineRule="auto"/>
        <w:rPr>
          <w:rFonts w:ascii="Aptos Display" w:hAnsi="Aptos Display"/>
          <w:sz w:val="22"/>
          <w:szCs w:val="22"/>
        </w:rPr>
      </w:pPr>
    </w:p>
    <w:p w14:paraId="7E67A691" w14:textId="77777777" w:rsidR="00DD1096" w:rsidRDefault="00DD1096" w:rsidP="00235FED">
      <w:pPr>
        <w:spacing w:after="0"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0156D592" w14:textId="77777777" w:rsidR="00235FED" w:rsidRPr="005B6AAB" w:rsidRDefault="00235FED" w:rsidP="00235FED">
      <w:pPr>
        <w:spacing w:after="0" w:line="240" w:lineRule="auto"/>
        <w:rPr>
          <w:rFonts w:ascii="Aptos Display" w:hAnsi="Aptos Display"/>
          <w:sz w:val="22"/>
          <w:szCs w:val="22"/>
        </w:rPr>
      </w:pPr>
    </w:p>
    <w:p w14:paraId="2079B43B" w14:textId="77777777" w:rsidR="00235FED" w:rsidRPr="005B6AAB" w:rsidRDefault="00235FED" w:rsidP="00235FED">
      <w:pPr>
        <w:spacing w:after="0" w:line="240" w:lineRule="auto"/>
        <w:rPr>
          <w:rFonts w:ascii="Aptos Display" w:hAnsi="Aptos Display"/>
          <w:sz w:val="22"/>
          <w:szCs w:val="22"/>
        </w:rPr>
      </w:pPr>
      <w:r w:rsidRPr="005B6AAB">
        <w:rPr>
          <w:rFonts w:ascii="Aptos Display" w:hAnsi="Aptos Display"/>
          <w:sz w:val="22"/>
          <w:szCs w:val="22"/>
          <w:u w:val="single"/>
        </w:rPr>
        <w:t>The Setting Inn Willamette Valley (Newberg, Oregon)</w:t>
      </w:r>
    </w:p>
    <w:p w14:paraId="7804059C" w14:textId="3AC7DD9F" w:rsidR="00235FED" w:rsidRDefault="00235FED" w:rsidP="00235FED">
      <w:pPr>
        <w:spacing w:after="0" w:line="240" w:lineRule="auto"/>
        <w:rPr>
          <w:rFonts w:ascii="Aptos Display" w:hAnsi="Aptos Display"/>
          <w:sz w:val="22"/>
          <w:szCs w:val="22"/>
        </w:rPr>
      </w:pPr>
      <w:r w:rsidRPr="005B6399">
        <w:rPr>
          <w:rFonts w:ascii="Aptos Display" w:hAnsi="Aptos Display"/>
          <w:sz w:val="22"/>
          <w:szCs w:val="22"/>
        </w:rPr>
        <w:t xml:space="preserve">Relax and unwind with a 3-night getaway for </w:t>
      </w:r>
      <w:r>
        <w:rPr>
          <w:rFonts w:ascii="Aptos Display" w:hAnsi="Aptos Display"/>
          <w:sz w:val="22"/>
          <w:szCs w:val="22"/>
        </w:rPr>
        <w:t>four</w:t>
      </w:r>
      <w:r w:rsidRPr="005B6399">
        <w:rPr>
          <w:rFonts w:ascii="Aptos Display" w:hAnsi="Aptos Display"/>
          <w:sz w:val="22"/>
          <w:szCs w:val="22"/>
        </w:rPr>
        <w:t xml:space="preserve"> in </w:t>
      </w:r>
      <w:r>
        <w:rPr>
          <w:rFonts w:ascii="Aptos Display" w:hAnsi="Aptos Display"/>
          <w:sz w:val="22"/>
          <w:szCs w:val="22"/>
        </w:rPr>
        <w:t>two</w:t>
      </w:r>
      <w:r w:rsidRPr="005B6399">
        <w:rPr>
          <w:rFonts w:ascii="Aptos Display" w:hAnsi="Aptos Display"/>
          <w:sz w:val="22"/>
          <w:szCs w:val="22"/>
        </w:rPr>
        <w:t xml:space="preserve"> stylish Standard King Guest Room</w:t>
      </w:r>
      <w:r>
        <w:rPr>
          <w:rFonts w:ascii="Aptos Display" w:hAnsi="Aptos Display"/>
          <w:sz w:val="22"/>
          <w:szCs w:val="22"/>
        </w:rPr>
        <w:t>s</w:t>
      </w:r>
      <w:r w:rsidRPr="005B6399">
        <w:rPr>
          <w:rFonts w:ascii="Aptos Display" w:hAnsi="Aptos Display"/>
          <w:sz w:val="22"/>
          <w:szCs w:val="22"/>
        </w:rPr>
        <w:t xml:space="preserve"> at The Setting Inn. From the moment you arrive, you'll feel right at home in this beautifully renovated boutique hotel that combines the charm of a classic inn with the elevated amenities of a luxury resort. Located in the heart of Oregon’s renowned Willamette Valley, The Setting Inn sets a new standard for modern, sophisticated stays in wine country.</w:t>
      </w:r>
    </w:p>
    <w:p w14:paraId="4D582B21" w14:textId="77777777" w:rsidR="00235FED" w:rsidRPr="005B6399" w:rsidRDefault="00235FED" w:rsidP="00235FED">
      <w:pPr>
        <w:spacing w:after="0" w:line="240" w:lineRule="auto"/>
        <w:rPr>
          <w:rFonts w:ascii="Aptos Display" w:hAnsi="Aptos Display"/>
          <w:sz w:val="22"/>
          <w:szCs w:val="22"/>
        </w:rPr>
      </w:pPr>
    </w:p>
    <w:p w14:paraId="4A7B7BC3" w14:textId="77777777" w:rsidR="00235FED" w:rsidRDefault="00235FED" w:rsidP="00235FED">
      <w:pPr>
        <w:spacing w:after="0" w:line="240" w:lineRule="auto"/>
        <w:rPr>
          <w:rFonts w:ascii="Aptos Display" w:hAnsi="Aptos Display"/>
          <w:sz w:val="22"/>
          <w:szCs w:val="22"/>
        </w:rPr>
      </w:pPr>
      <w:r w:rsidRPr="005B6399">
        <w:rPr>
          <w:rFonts w:ascii="Aptos Display" w:hAnsi="Aptos Display"/>
          <w:sz w:val="22"/>
          <w:szCs w:val="22"/>
        </w:rPr>
        <w:t>Surrounded by serene Northwest landscaping, the ten-acre property features tranquil lavender fields, stately Cyprus and fruit trees, a boutique vineyard—perfect for those Instagram-worthy moments—and thoughtful outdoor spaces. Enjoy cozy evenings by the fire pits, relax on the heated terrace, play a round of bocce ball, or explore a variety of retro yard games. The modern event barn and welcoming courtyard add even more to the property's inviting atmosphere.</w:t>
      </w:r>
    </w:p>
    <w:p w14:paraId="7E47BB75" w14:textId="77777777" w:rsidR="00235FED" w:rsidRPr="005B6399" w:rsidRDefault="00235FED" w:rsidP="00235FED">
      <w:pPr>
        <w:spacing w:after="0" w:line="240" w:lineRule="auto"/>
        <w:rPr>
          <w:rFonts w:ascii="Aptos Display" w:hAnsi="Aptos Display"/>
          <w:sz w:val="22"/>
          <w:szCs w:val="22"/>
        </w:rPr>
      </w:pPr>
    </w:p>
    <w:p w14:paraId="20EF6C9E" w14:textId="77777777" w:rsidR="00235FED" w:rsidRDefault="00235FED" w:rsidP="00235FED">
      <w:pPr>
        <w:spacing w:after="0" w:line="240" w:lineRule="auto"/>
        <w:rPr>
          <w:rFonts w:ascii="Aptos Display" w:hAnsi="Aptos Display"/>
          <w:sz w:val="22"/>
          <w:szCs w:val="22"/>
        </w:rPr>
      </w:pPr>
      <w:r w:rsidRPr="005B6399">
        <w:rPr>
          <w:rFonts w:ascii="Aptos Display" w:hAnsi="Aptos Display"/>
          <w:sz w:val="22"/>
          <w:szCs w:val="22"/>
        </w:rPr>
        <w:t>Whether you're wine tasting, attending a wedding, enjoying a spa day in Newberg, or dining in nearby McMinnville, The Setting Inn’s central location puts you close to it all—while still offering a peaceful retreat.</w:t>
      </w:r>
    </w:p>
    <w:p w14:paraId="1C26BFA5" w14:textId="77777777" w:rsidR="00235FED" w:rsidRPr="005B6399" w:rsidRDefault="00235FED" w:rsidP="00235FED">
      <w:pPr>
        <w:spacing w:after="0" w:line="240" w:lineRule="auto"/>
        <w:rPr>
          <w:rFonts w:ascii="Aptos Display" w:hAnsi="Aptos Display"/>
          <w:sz w:val="22"/>
          <w:szCs w:val="22"/>
        </w:rPr>
      </w:pPr>
    </w:p>
    <w:p w14:paraId="1592D30B" w14:textId="77777777" w:rsidR="00235FED" w:rsidRPr="005B6399" w:rsidRDefault="00235FED" w:rsidP="00235FED">
      <w:pPr>
        <w:spacing w:after="0" w:line="240" w:lineRule="auto"/>
        <w:rPr>
          <w:rFonts w:ascii="Aptos Display" w:hAnsi="Aptos Display"/>
          <w:sz w:val="22"/>
          <w:szCs w:val="22"/>
        </w:rPr>
      </w:pPr>
      <w:r w:rsidRPr="005B6399">
        <w:rPr>
          <w:rFonts w:ascii="Aptos Display" w:hAnsi="Aptos Display"/>
          <w:sz w:val="22"/>
          <w:szCs w:val="22"/>
        </w:rPr>
        <w:t>Each morning, wake up to a rustic Oregon-style continental breakfast delivered to your room, featuring local pastries from Pearl Bakery, fresh fruit, yogurt and granola bowls, hard-boiled eggs, and orange juice. And for a touch of indulgence, enjoy luxurious eco-friendly bath products from LATHER’s Bamboo Lemongrass Collection, enhancing every moment of your stay.</w:t>
      </w:r>
    </w:p>
    <w:p w14:paraId="3CB70604" w14:textId="77777777" w:rsidR="00235FED" w:rsidRPr="005B6AAB" w:rsidRDefault="00235FED" w:rsidP="00235FED">
      <w:pPr>
        <w:spacing w:after="0" w:line="240" w:lineRule="auto"/>
        <w:rPr>
          <w:rFonts w:ascii="Aptos Display" w:hAnsi="Aptos Display"/>
          <w:sz w:val="22"/>
          <w:szCs w:val="22"/>
        </w:rPr>
      </w:pPr>
    </w:p>
    <w:p w14:paraId="546EAA0F" w14:textId="77777777" w:rsidR="00235FED" w:rsidRDefault="00235FED" w:rsidP="00235FED">
      <w:pPr>
        <w:spacing w:after="0" w:line="240" w:lineRule="auto"/>
        <w:rPr>
          <w:rFonts w:ascii="Aptos Display" w:hAnsi="Aptos Display"/>
          <w:sz w:val="22"/>
          <w:szCs w:val="22"/>
        </w:rPr>
      </w:pPr>
      <w:r w:rsidRPr="005B6AAB">
        <w:rPr>
          <w:rFonts w:ascii="Aptos Display" w:hAnsi="Aptos Display"/>
          <w:sz w:val="22"/>
          <w:szCs w:val="22"/>
        </w:rPr>
        <w:t xml:space="preserve">Available dates: December 1 – May 31 </w:t>
      </w:r>
    </w:p>
    <w:p w14:paraId="347EDCCA" w14:textId="77777777" w:rsidR="00235FED" w:rsidRPr="005B6AAB" w:rsidRDefault="00235FED" w:rsidP="00235FED">
      <w:pPr>
        <w:spacing w:after="0" w:line="240" w:lineRule="auto"/>
        <w:rPr>
          <w:rFonts w:ascii="Aptos Display" w:hAnsi="Aptos Display"/>
          <w:sz w:val="22"/>
          <w:szCs w:val="22"/>
        </w:rPr>
      </w:pPr>
    </w:p>
    <w:p w14:paraId="01E8F4F9" w14:textId="77777777" w:rsidR="00235FED" w:rsidRPr="005B6AAB" w:rsidRDefault="00235FED" w:rsidP="00235FED">
      <w:pPr>
        <w:spacing w:after="0" w:line="240" w:lineRule="auto"/>
        <w:rPr>
          <w:rFonts w:ascii="Aptos Display" w:hAnsi="Aptos Display"/>
          <w:sz w:val="22"/>
          <w:szCs w:val="22"/>
        </w:rPr>
      </w:pPr>
      <w:r w:rsidRPr="005B6AAB">
        <w:rPr>
          <w:rFonts w:ascii="Aptos Display" w:hAnsi="Aptos Display"/>
          <w:sz w:val="22"/>
          <w:szCs w:val="22"/>
          <w:u w:val="single"/>
        </w:rPr>
        <w:t>Chauffeured Wine Tasting Tour and Lunch</w:t>
      </w:r>
    </w:p>
    <w:p w14:paraId="233FEAA2" w14:textId="77777777" w:rsidR="00BC3C08" w:rsidRDefault="00BC3C08" w:rsidP="00235FED">
      <w:pPr>
        <w:spacing w:after="0" w:line="240" w:lineRule="auto"/>
        <w:rPr>
          <w:rFonts w:ascii="Aptos Display" w:hAnsi="Aptos Display"/>
          <w:sz w:val="22"/>
          <w:szCs w:val="22"/>
        </w:rPr>
      </w:pPr>
      <w:bookmarkStart w:id="1" w:name="_Hlk196486309"/>
      <w:r w:rsidRPr="00FB0081">
        <w:rPr>
          <w:rFonts w:ascii="Aptos Display" w:hAnsi="Aptos Display"/>
          <w:sz w:val="22"/>
          <w:szCs w:val="22"/>
        </w:rPr>
        <w:t>Set off on a luxurious chauffeured wine tour through the heart of Oregon’s renowned Willamette Valley, where every stop is designed to elevate your senses. Your day begins with a visit to either Ambar, where a dedicated host will guide you through an elevated tasting of their meticulously crafted wines, framed by sweeping vineyard views—or to Penner-Ash Wine Cellars in the scenic Ribbon Ridge AVA, where you’ll enjoy a curated flight on their serene patio surrounded by breathtaking landscapes. (Please note winery selection is based on availability.) Midday, savor a seasonally inspired lunch at Trellis Wine Bar and Kitchen, where Chef Joe Jackson showcases the region’s freshest ingredients in a rotating menu that pairs beautifully with your wine country experience. The afternoon culminates at Domaine Serene, where a private tasting awaits. Led by your personal sommelier, explore a thoughtfully chosen flight of limited-production wines while discovering the rich history and winemaking legacy of this prestigious estate.</w:t>
      </w:r>
    </w:p>
    <w:p w14:paraId="21930317" w14:textId="009D07C6" w:rsidR="00235FED" w:rsidRPr="005B6399" w:rsidRDefault="00235FED" w:rsidP="00235FED">
      <w:pPr>
        <w:spacing w:after="0" w:line="240" w:lineRule="auto"/>
        <w:rPr>
          <w:rFonts w:ascii="Aptos Display" w:hAnsi="Aptos Display"/>
          <w:sz w:val="22"/>
          <w:szCs w:val="22"/>
        </w:rPr>
      </w:pPr>
      <w:r w:rsidRPr="005B6399">
        <w:rPr>
          <w:rFonts w:ascii="Aptos Display" w:hAnsi="Aptos Display"/>
          <w:sz w:val="22"/>
          <w:szCs w:val="22"/>
        </w:rPr>
        <w:lastRenderedPageBreak/>
        <w:t>Midday, indulge in a seasonally inspired lunch at Trellis Wine Bar and Kitchen. Chef Joe Jackson highlights the freshest local ingredients in a rotating menu that perfectly complements your wine country adventure.</w:t>
      </w:r>
    </w:p>
    <w:bookmarkEnd w:id="1"/>
    <w:p w14:paraId="1FEA51BD" w14:textId="77777777" w:rsidR="00235FED" w:rsidRDefault="00235FED" w:rsidP="00235FED">
      <w:pPr>
        <w:spacing w:after="0" w:line="240" w:lineRule="auto"/>
        <w:rPr>
          <w:rFonts w:ascii="Aptos Display" w:hAnsi="Aptos Display"/>
          <w:sz w:val="22"/>
          <w:szCs w:val="22"/>
          <w:u w:val="single"/>
        </w:rPr>
      </w:pPr>
    </w:p>
    <w:p w14:paraId="7B4E84F7" w14:textId="77777777" w:rsidR="00235FED" w:rsidRDefault="00235FED" w:rsidP="00235FED">
      <w:pPr>
        <w:spacing w:after="0" w:line="240" w:lineRule="auto"/>
        <w:rPr>
          <w:rFonts w:ascii="Aptos Display" w:hAnsi="Aptos Display"/>
          <w:sz w:val="22"/>
          <w:szCs w:val="22"/>
        </w:rPr>
      </w:pPr>
      <w:bookmarkStart w:id="2" w:name="_Hlk192579537"/>
      <w:bookmarkStart w:id="3" w:name="_Hlk196484165"/>
      <w:r>
        <w:rPr>
          <w:rFonts w:ascii="Aptos Display" w:hAnsi="Aptos Display"/>
          <w:sz w:val="22"/>
          <w:szCs w:val="22"/>
          <w:u w:val="single"/>
        </w:rPr>
        <w:t>The Setting Wine Tasting</w:t>
      </w:r>
      <w:bookmarkEnd w:id="2"/>
    </w:p>
    <w:p w14:paraId="0E4FF89C" w14:textId="77777777" w:rsidR="00235FED" w:rsidRPr="00792614" w:rsidRDefault="00235FED" w:rsidP="00235FED">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2D013C55" w14:textId="77777777" w:rsidR="00235FED" w:rsidRPr="00792614" w:rsidRDefault="00235FED" w:rsidP="00235FED">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2374638B" w14:textId="77777777" w:rsidR="00235FED" w:rsidRDefault="00235FED" w:rsidP="00235FED">
      <w:pPr>
        <w:spacing w:after="0" w:line="240" w:lineRule="auto"/>
        <w:rPr>
          <w:rFonts w:ascii="Aptos Display" w:hAnsi="Aptos Display"/>
          <w:sz w:val="22"/>
          <w:szCs w:val="22"/>
        </w:rPr>
      </w:pPr>
    </w:p>
    <w:p w14:paraId="431B9D18" w14:textId="77777777" w:rsidR="00235FED" w:rsidRDefault="00235FED" w:rsidP="00235FED">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bookmarkEnd w:id="3"/>
      <w:r w:rsidRPr="00792614">
        <w:rPr>
          <w:rFonts w:ascii="Aptos Display" w:hAnsi="Aptos Display"/>
          <w:sz w:val="22"/>
          <w:szCs w:val="22"/>
        </w:rPr>
        <w:t xml:space="preserve"> </w:t>
      </w:r>
    </w:p>
    <w:p w14:paraId="15667425" w14:textId="77777777" w:rsidR="00235FED" w:rsidRDefault="00235FED" w:rsidP="00235FED">
      <w:pPr>
        <w:spacing w:after="0" w:line="240" w:lineRule="auto"/>
        <w:rPr>
          <w:rFonts w:ascii="Aptos Display" w:hAnsi="Aptos Display"/>
          <w:sz w:val="22"/>
          <w:szCs w:val="22"/>
        </w:rPr>
      </w:pPr>
    </w:p>
    <w:p w14:paraId="16825B6D" w14:textId="77777777" w:rsidR="00235FED" w:rsidRDefault="00235FED" w:rsidP="00235FED">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21FA2FFA" w14:textId="77777777" w:rsidR="00235FED" w:rsidRDefault="00235FED" w:rsidP="00235FED">
      <w:pPr>
        <w:spacing w:after="0" w:line="240" w:lineRule="auto"/>
        <w:rPr>
          <w:rFonts w:ascii="Aptos Display" w:hAnsi="Aptos Display"/>
          <w:sz w:val="22"/>
          <w:szCs w:val="22"/>
        </w:rPr>
      </w:pPr>
    </w:p>
    <w:p w14:paraId="160F5952" w14:textId="77777777" w:rsidR="00235FED" w:rsidRPr="00E71448" w:rsidRDefault="00235FED" w:rsidP="00235FED">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65E26DE9" w14:textId="77777777" w:rsidR="00235FED" w:rsidRDefault="00235FED" w:rsidP="00235FED">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3A9F7CA8" w14:textId="77777777" w:rsidR="00235FED" w:rsidRPr="00E71448" w:rsidRDefault="00235FED" w:rsidP="00235FED">
      <w:pPr>
        <w:spacing w:after="0" w:line="240" w:lineRule="auto"/>
        <w:rPr>
          <w:rFonts w:ascii="Aptos Display" w:hAnsi="Aptos Display"/>
          <w:sz w:val="22"/>
          <w:szCs w:val="22"/>
        </w:rPr>
      </w:pPr>
    </w:p>
    <w:p w14:paraId="137DF9EC" w14:textId="77777777" w:rsidR="00235FED" w:rsidRPr="00E71448" w:rsidRDefault="00235FED" w:rsidP="00235FED">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62E991BF" w14:textId="77777777" w:rsidR="00235FED" w:rsidRDefault="00235FED" w:rsidP="00235FED">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5894360" w14:textId="77777777" w:rsidR="00235FED" w:rsidRPr="00E71448" w:rsidRDefault="00235FED" w:rsidP="00235FED">
      <w:pPr>
        <w:spacing w:after="0" w:line="240" w:lineRule="auto"/>
        <w:rPr>
          <w:rFonts w:ascii="Aptos Display" w:hAnsi="Aptos Display"/>
          <w:sz w:val="22"/>
          <w:szCs w:val="22"/>
        </w:rPr>
      </w:pPr>
    </w:p>
    <w:p w14:paraId="6DEA7E6F" w14:textId="77777777" w:rsidR="00235FED" w:rsidRPr="00E71448" w:rsidRDefault="00235FED" w:rsidP="00235FED">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580149E1" w14:textId="77777777" w:rsidR="00235FED" w:rsidRPr="00E71448" w:rsidRDefault="00235FED" w:rsidP="00235FED">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47C29C2" w14:textId="77777777" w:rsidR="00235FED" w:rsidRPr="00E71448" w:rsidRDefault="00235FED" w:rsidP="00235FED">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6A5ADC54" w14:textId="77777777" w:rsidR="00235FED" w:rsidRPr="00130E4B" w:rsidRDefault="00235FED" w:rsidP="00235FED">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3AC36F16" w14:textId="77777777" w:rsidR="00235FED" w:rsidRPr="005B6AAB" w:rsidRDefault="00235FED" w:rsidP="00235FED">
      <w:pPr>
        <w:spacing w:after="0" w:line="240" w:lineRule="auto"/>
        <w:rPr>
          <w:rFonts w:ascii="Aptos Display" w:hAnsi="Aptos Display"/>
          <w:sz w:val="22"/>
          <w:szCs w:val="22"/>
        </w:rPr>
      </w:pPr>
    </w:p>
    <w:p w14:paraId="28BF3776" w14:textId="4B37385A" w:rsidR="00673FD7" w:rsidRPr="00DD1096" w:rsidRDefault="00673FD7" w:rsidP="00235FED">
      <w:pPr>
        <w:spacing w:after="0" w:line="240" w:lineRule="auto"/>
        <w:rPr>
          <w:rFonts w:ascii="Aptos Display" w:hAnsi="Aptos Display"/>
          <w:sz w:val="22"/>
          <w:szCs w:val="22"/>
        </w:rPr>
      </w:pPr>
    </w:p>
    <w:sectPr w:rsidR="00673FD7" w:rsidRPr="00DD1096">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DDDE1C"/>
    <w:multiLevelType w:val="hybridMultilevel"/>
    <w:tmpl w:val="01E031FA"/>
    <w:lvl w:ilvl="0" w:tplc="A2ECE466">
      <w:start w:val="1"/>
      <w:numFmt w:val="bullet"/>
      <w:lvlText w:val=""/>
      <w:lvlJc w:val="left"/>
      <w:pPr>
        <w:tabs>
          <w:tab w:val="num" w:pos="720"/>
        </w:tabs>
        <w:ind w:left="720" w:hanging="360"/>
      </w:pPr>
      <w:rPr>
        <w:rFonts w:ascii="Symbol" w:hAnsi="Symbol" w:cs="Symbol" w:hint="default"/>
      </w:rPr>
    </w:lvl>
    <w:lvl w:ilvl="1" w:tplc="C3B6919C">
      <w:start w:val="1"/>
      <w:numFmt w:val="bullet"/>
      <w:lvlText w:val="o"/>
      <w:lvlJc w:val="left"/>
      <w:pPr>
        <w:tabs>
          <w:tab w:val="num" w:pos="1440"/>
        </w:tabs>
        <w:ind w:left="1440" w:hanging="360"/>
      </w:pPr>
      <w:rPr>
        <w:rFonts w:ascii="Courier New" w:hAnsi="Courier New" w:cs="Courier New" w:hint="default"/>
      </w:rPr>
    </w:lvl>
    <w:lvl w:ilvl="2" w:tplc="7728A222">
      <w:start w:val="1"/>
      <w:numFmt w:val="bullet"/>
      <w:lvlText w:val=""/>
      <w:lvlJc w:val="left"/>
      <w:pPr>
        <w:tabs>
          <w:tab w:val="num" w:pos="2160"/>
        </w:tabs>
        <w:ind w:left="2160" w:hanging="360"/>
      </w:pPr>
      <w:rPr>
        <w:rFonts w:ascii="Wingdings" w:hAnsi="Wingdings" w:cs="Wingdings" w:hint="default"/>
      </w:rPr>
    </w:lvl>
    <w:lvl w:ilvl="3" w:tplc="86DAFB1E">
      <w:start w:val="1"/>
      <w:numFmt w:val="bullet"/>
      <w:lvlText w:val=""/>
      <w:lvlJc w:val="left"/>
      <w:pPr>
        <w:tabs>
          <w:tab w:val="num" w:pos="2880"/>
        </w:tabs>
        <w:ind w:left="2880" w:hanging="360"/>
      </w:pPr>
      <w:rPr>
        <w:rFonts w:ascii="Symbol" w:hAnsi="Symbol" w:cs="Symbol" w:hint="default"/>
      </w:rPr>
    </w:lvl>
    <w:lvl w:ilvl="4" w:tplc="4C687F1C">
      <w:start w:val="1"/>
      <w:numFmt w:val="bullet"/>
      <w:lvlText w:val="o"/>
      <w:lvlJc w:val="left"/>
      <w:pPr>
        <w:tabs>
          <w:tab w:val="num" w:pos="3600"/>
        </w:tabs>
        <w:ind w:left="3600" w:hanging="360"/>
      </w:pPr>
      <w:rPr>
        <w:rFonts w:ascii="Courier New" w:hAnsi="Courier New" w:cs="Courier New" w:hint="default"/>
      </w:rPr>
    </w:lvl>
    <w:lvl w:ilvl="5" w:tplc="D9181536">
      <w:start w:val="1"/>
      <w:numFmt w:val="bullet"/>
      <w:lvlText w:val=""/>
      <w:lvlJc w:val="left"/>
      <w:pPr>
        <w:tabs>
          <w:tab w:val="num" w:pos="4320"/>
        </w:tabs>
        <w:ind w:left="4320" w:hanging="360"/>
      </w:pPr>
      <w:rPr>
        <w:rFonts w:ascii="Wingdings" w:hAnsi="Wingdings" w:cs="Wingdings" w:hint="default"/>
      </w:rPr>
    </w:lvl>
    <w:lvl w:ilvl="6" w:tplc="3F18D508">
      <w:start w:val="1"/>
      <w:numFmt w:val="bullet"/>
      <w:lvlText w:val=""/>
      <w:lvlJc w:val="left"/>
      <w:pPr>
        <w:tabs>
          <w:tab w:val="num" w:pos="5040"/>
        </w:tabs>
        <w:ind w:left="5040" w:hanging="360"/>
      </w:pPr>
      <w:rPr>
        <w:rFonts w:ascii="Symbol" w:hAnsi="Symbol" w:cs="Symbol" w:hint="default"/>
      </w:rPr>
    </w:lvl>
    <w:lvl w:ilvl="7" w:tplc="19181586">
      <w:start w:val="1"/>
      <w:numFmt w:val="bullet"/>
      <w:lvlText w:val="o"/>
      <w:lvlJc w:val="left"/>
      <w:pPr>
        <w:tabs>
          <w:tab w:val="num" w:pos="5760"/>
        </w:tabs>
        <w:ind w:left="5760" w:hanging="360"/>
      </w:pPr>
      <w:rPr>
        <w:rFonts w:ascii="Courier New" w:hAnsi="Courier New" w:cs="Courier New" w:hint="default"/>
      </w:rPr>
    </w:lvl>
    <w:lvl w:ilvl="8" w:tplc="FE8246AE">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17AB4B3"/>
    <w:multiLevelType w:val="hybridMultilevel"/>
    <w:tmpl w:val="14F69EF8"/>
    <w:lvl w:ilvl="0" w:tplc="0548E52A">
      <w:start w:val="1"/>
      <w:numFmt w:val="bullet"/>
      <w:lvlText w:val=""/>
      <w:lvlJc w:val="left"/>
      <w:pPr>
        <w:tabs>
          <w:tab w:val="num" w:pos="720"/>
        </w:tabs>
        <w:ind w:left="720" w:hanging="360"/>
      </w:pPr>
      <w:rPr>
        <w:rFonts w:ascii="Symbol" w:hAnsi="Symbol" w:cs="Symbol" w:hint="default"/>
      </w:rPr>
    </w:lvl>
    <w:lvl w:ilvl="1" w:tplc="1278F470">
      <w:start w:val="1"/>
      <w:numFmt w:val="bullet"/>
      <w:lvlText w:val="o"/>
      <w:lvlJc w:val="left"/>
      <w:pPr>
        <w:tabs>
          <w:tab w:val="num" w:pos="1440"/>
        </w:tabs>
        <w:ind w:left="1440" w:hanging="360"/>
      </w:pPr>
      <w:rPr>
        <w:rFonts w:ascii="Courier New" w:hAnsi="Courier New" w:cs="Courier New" w:hint="default"/>
      </w:rPr>
    </w:lvl>
    <w:lvl w:ilvl="2" w:tplc="1478A7AE">
      <w:start w:val="1"/>
      <w:numFmt w:val="bullet"/>
      <w:lvlText w:val=""/>
      <w:lvlJc w:val="left"/>
      <w:pPr>
        <w:tabs>
          <w:tab w:val="num" w:pos="2160"/>
        </w:tabs>
        <w:ind w:left="2160" w:hanging="360"/>
      </w:pPr>
      <w:rPr>
        <w:rFonts w:ascii="Wingdings" w:hAnsi="Wingdings" w:cs="Wingdings" w:hint="default"/>
      </w:rPr>
    </w:lvl>
    <w:lvl w:ilvl="3" w:tplc="26A60F8E">
      <w:start w:val="1"/>
      <w:numFmt w:val="bullet"/>
      <w:lvlText w:val=""/>
      <w:lvlJc w:val="left"/>
      <w:pPr>
        <w:tabs>
          <w:tab w:val="num" w:pos="2880"/>
        </w:tabs>
        <w:ind w:left="2880" w:hanging="360"/>
      </w:pPr>
      <w:rPr>
        <w:rFonts w:ascii="Symbol" w:hAnsi="Symbol" w:cs="Symbol" w:hint="default"/>
      </w:rPr>
    </w:lvl>
    <w:lvl w:ilvl="4" w:tplc="24CE50B2">
      <w:start w:val="1"/>
      <w:numFmt w:val="bullet"/>
      <w:lvlText w:val="o"/>
      <w:lvlJc w:val="left"/>
      <w:pPr>
        <w:tabs>
          <w:tab w:val="num" w:pos="3600"/>
        </w:tabs>
        <w:ind w:left="3600" w:hanging="360"/>
      </w:pPr>
      <w:rPr>
        <w:rFonts w:ascii="Courier New" w:hAnsi="Courier New" w:cs="Courier New" w:hint="default"/>
      </w:rPr>
    </w:lvl>
    <w:lvl w:ilvl="5" w:tplc="3DD8FD86">
      <w:start w:val="1"/>
      <w:numFmt w:val="bullet"/>
      <w:lvlText w:val=""/>
      <w:lvlJc w:val="left"/>
      <w:pPr>
        <w:tabs>
          <w:tab w:val="num" w:pos="4320"/>
        </w:tabs>
        <w:ind w:left="4320" w:hanging="360"/>
      </w:pPr>
      <w:rPr>
        <w:rFonts w:ascii="Wingdings" w:hAnsi="Wingdings" w:cs="Wingdings" w:hint="default"/>
      </w:rPr>
    </w:lvl>
    <w:lvl w:ilvl="6" w:tplc="A5A2D1FC">
      <w:start w:val="1"/>
      <w:numFmt w:val="bullet"/>
      <w:lvlText w:val=""/>
      <w:lvlJc w:val="left"/>
      <w:pPr>
        <w:tabs>
          <w:tab w:val="num" w:pos="5040"/>
        </w:tabs>
        <w:ind w:left="5040" w:hanging="360"/>
      </w:pPr>
      <w:rPr>
        <w:rFonts w:ascii="Symbol" w:hAnsi="Symbol" w:cs="Symbol" w:hint="default"/>
      </w:rPr>
    </w:lvl>
    <w:lvl w:ilvl="7" w:tplc="4AFAC588">
      <w:start w:val="1"/>
      <w:numFmt w:val="bullet"/>
      <w:lvlText w:val="o"/>
      <w:lvlJc w:val="left"/>
      <w:pPr>
        <w:tabs>
          <w:tab w:val="num" w:pos="5760"/>
        </w:tabs>
        <w:ind w:left="5760" w:hanging="360"/>
      </w:pPr>
      <w:rPr>
        <w:rFonts w:ascii="Courier New" w:hAnsi="Courier New" w:cs="Courier New" w:hint="default"/>
      </w:rPr>
    </w:lvl>
    <w:lvl w:ilvl="8" w:tplc="6426A0B2">
      <w:start w:val="1"/>
      <w:numFmt w:val="bullet"/>
      <w:lvlText w:val=""/>
      <w:lvlJc w:val="left"/>
      <w:pPr>
        <w:tabs>
          <w:tab w:val="num" w:pos="6480"/>
        </w:tabs>
        <w:ind w:left="6480" w:hanging="360"/>
      </w:pPr>
      <w:rPr>
        <w:rFonts w:ascii="Wingdings" w:hAnsi="Wingdings" w:cs="Wingdings" w:hint="default"/>
      </w:rPr>
    </w:lvl>
  </w:abstractNum>
  <w:num w:numId="1" w16cid:durableId="1634291174">
    <w:abstractNumId w:val="1"/>
  </w:num>
  <w:num w:numId="2" w16cid:durableId="137758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FD7"/>
    <w:rsid w:val="0004090F"/>
    <w:rsid w:val="000F2CBD"/>
    <w:rsid w:val="00115835"/>
    <w:rsid w:val="00235FED"/>
    <w:rsid w:val="003A109B"/>
    <w:rsid w:val="0056570E"/>
    <w:rsid w:val="00673FD7"/>
    <w:rsid w:val="006A2020"/>
    <w:rsid w:val="00773EB9"/>
    <w:rsid w:val="007A2BAD"/>
    <w:rsid w:val="007E1B36"/>
    <w:rsid w:val="007E47B1"/>
    <w:rsid w:val="00862D24"/>
    <w:rsid w:val="008F4555"/>
    <w:rsid w:val="00BC3C08"/>
    <w:rsid w:val="00BC5867"/>
    <w:rsid w:val="00DD1096"/>
    <w:rsid w:val="00E40635"/>
    <w:rsid w:val="00E71F1F"/>
    <w:rsid w:val="00F1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76C0D"/>
  <w15:docId w15:val="{4C9C9E3B-DD8C-4CB2-A528-5239EC2B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882</Words>
  <Characters>5030</Characters>
  <Application>Microsoft Office Word</Application>
  <DocSecurity>0</DocSecurity>
  <Lines>41</Lines>
  <Paragraphs>11</Paragraphs>
  <ScaleCrop>false</ScaleCrop>
  <Manager/>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101</dc:creator>
  <cp:keywords/>
  <dc:description/>
  <cp:lastModifiedBy>Winspire 141</cp:lastModifiedBy>
  <cp:revision>3</cp:revision>
  <dcterms:created xsi:type="dcterms:W3CDTF">2025-04-25T22:17:00Z</dcterms:created>
  <dcterms:modified xsi:type="dcterms:W3CDTF">2025-04-25T22:58:00Z</dcterms:modified>
  <cp:category/>
</cp:coreProperties>
</file>